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F5C" w14:textId="707F188D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>1. Introduction</w:t>
      </w:r>
    </w:p>
    <w:p w14:paraId="413B65A8" w14:textId="77777777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Begin with a brief statement on the importance of supplier diversity in fostering a more inclusive and equitable business environment.</w:t>
      </w:r>
    </w:p>
    <w:p w14:paraId="1EB7B3FA" w14:textId="5B7350AC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2. Policy </w:t>
      </w:r>
      <w:r w:rsidR="2CB53538" w:rsidRPr="0017E8F2">
        <w:rPr>
          <w:b/>
          <w:bCs/>
        </w:rPr>
        <w:t>s</w:t>
      </w:r>
      <w:r w:rsidRPr="0017E8F2">
        <w:rPr>
          <w:b/>
          <w:bCs/>
        </w:rPr>
        <w:t>tatement</w:t>
      </w:r>
    </w:p>
    <w:p w14:paraId="0DBC7881" w14:textId="71EACF44" w:rsidR="0010300E" w:rsidRDefault="0010300E" w:rsidP="0017E8F2">
      <w:pPr>
        <w:rPr>
          <w:i/>
          <w:iCs/>
        </w:rPr>
      </w:pPr>
      <w:r w:rsidRPr="00DD1824">
        <w:rPr>
          <w:i/>
          <w:iCs/>
        </w:rPr>
        <w:t>Clearly state the company's commitment to supplier diversity, emphasi</w:t>
      </w:r>
      <w:r w:rsidR="09CE73F8" w:rsidRPr="00DD1824">
        <w:rPr>
          <w:i/>
          <w:iCs/>
        </w:rPr>
        <w:t>s</w:t>
      </w:r>
      <w:r w:rsidRPr="00DD1824">
        <w:rPr>
          <w:i/>
          <w:iCs/>
        </w:rPr>
        <w:t>ing</w:t>
      </w:r>
      <w:r w:rsidR="56F587A8" w:rsidRPr="0017E8F2">
        <w:rPr>
          <w:i/>
          <w:iCs/>
        </w:rPr>
        <w:t>:</w:t>
      </w:r>
      <w:r w:rsidRPr="00DD1824">
        <w:rPr>
          <w:i/>
          <w:iCs/>
        </w:rPr>
        <w:t xml:space="preserve"> </w:t>
      </w:r>
    </w:p>
    <w:p w14:paraId="3DD855C0" w14:textId="581E5C69" w:rsidR="0010300E" w:rsidRDefault="02EADBD0" w:rsidP="00DD1824">
      <w:pPr>
        <w:pStyle w:val="ListParagraph"/>
        <w:numPr>
          <w:ilvl w:val="0"/>
          <w:numId w:val="6"/>
        </w:numPr>
        <w:rPr>
          <w:i/>
          <w:iCs/>
        </w:rPr>
      </w:pPr>
      <w:r w:rsidRPr="0017E8F2">
        <w:rPr>
          <w:i/>
          <w:iCs/>
        </w:rPr>
        <w:t>W</w:t>
      </w:r>
      <w:r w:rsidR="6B5A1A69" w:rsidRPr="0017E8F2">
        <w:rPr>
          <w:i/>
          <w:iCs/>
        </w:rPr>
        <w:t>hy it is</w:t>
      </w:r>
      <w:r w:rsidR="0010300E" w:rsidRPr="00DD1824">
        <w:rPr>
          <w:i/>
          <w:iCs/>
        </w:rPr>
        <w:t xml:space="preserve"> strategic</w:t>
      </w:r>
      <w:r w:rsidR="48AB3F03" w:rsidRPr="0017E8F2">
        <w:rPr>
          <w:i/>
          <w:iCs/>
        </w:rPr>
        <w:t>ally</w:t>
      </w:r>
      <w:r w:rsidR="0010300E" w:rsidRPr="00DD1824">
        <w:rPr>
          <w:i/>
          <w:iCs/>
        </w:rPr>
        <w:t xml:space="preserve"> importa</w:t>
      </w:r>
      <w:r w:rsidR="254F0957" w:rsidRPr="0017E8F2">
        <w:rPr>
          <w:i/>
          <w:iCs/>
        </w:rPr>
        <w:t>nt</w:t>
      </w:r>
    </w:p>
    <w:p w14:paraId="37C963F5" w14:textId="68CE667B" w:rsidR="0010300E" w:rsidRDefault="653804ED" w:rsidP="00DD1824">
      <w:pPr>
        <w:pStyle w:val="ListParagraph"/>
        <w:numPr>
          <w:ilvl w:val="0"/>
          <w:numId w:val="6"/>
        </w:numPr>
        <w:rPr>
          <w:i/>
          <w:iCs/>
        </w:rPr>
      </w:pPr>
      <w:r w:rsidRPr="0017E8F2">
        <w:rPr>
          <w:i/>
          <w:iCs/>
        </w:rPr>
        <w:t>H</w:t>
      </w:r>
      <w:r w:rsidR="7F9DBD49" w:rsidRPr="0017E8F2">
        <w:rPr>
          <w:i/>
          <w:iCs/>
        </w:rPr>
        <w:t>ow it aligns with</w:t>
      </w:r>
      <w:r w:rsidR="500E0CC4" w:rsidRPr="0017E8F2">
        <w:rPr>
          <w:i/>
          <w:iCs/>
        </w:rPr>
        <w:t xml:space="preserve"> </w:t>
      </w:r>
      <w:r w:rsidR="0010300E" w:rsidRPr="00DD1824">
        <w:rPr>
          <w:i/>
          <w:iCs/>
        </w:rPr>
        <w:t>corporate values</w:t>
      </w:r>
      <w:r w:rsidR="36196420" w:rsidRPr="0017E8F2">
        <w:rPr>
          <w:i/>
          <w:iCs/>
        </w:rPr>
        <w:t xml:space="preserve"> </w:t>
      </w:r>
    </w:p>
    <w:p w14:paraId="08803E6A" w14:textId="6210E740" w:rsidR="0010300E" w:rsidRPr="00DD1824" w:rsidRDefault="120C8EBE" w:rsidP="00DD1824">
      <w:pPr>
        <w:pStyle w:val="ListParagraph"/>
        <w:numPr>
          <w:ilvl w:val="0"/>
          <w:numId w:val="6"/>
        </w:numPr>
        <w:rPr>
          <w:i/>
          <w:iCs/>
        </w:rPr>
      </w:pPr>
      <w:r w:rsidRPr="0017E8F2">
        <w:rPr>
          <w:i/>
          <w:iCs/>
        </w:rPr>
        <w:t xml:space="preserve">How it </w:t>
      </w:r>
      <w:r w:rsidR="6C4D0BC9" w:rsidRPr="0017E8F2">
        <w:rPr>
          <w:i/>
          <w:iCs/>
        </w:rPr>
        <w:t>contributes</w:t>
      </w:r>
      <w:r w:rsidR="0010300E" w:rsidRPr="00DD1824">
        <w:rPr>
          <w:i/>
          <w:iCs/>
        </w:rPr>
        <w:t xml:space="preserve"> to the overall success of the business.</w:t>
      </w:r>
    </w:p>
    <w:p w14:paraId="3AE70BA6" w14:textId="3D847B7C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>3. Objectives</w:t>
      </w:r>
    </w:p>
    <w:p w14:paraId="0A148A4B" w14:textId="19B69B5E" w:rsidR="0010300E" w:rsidRDefault="0010300E" w:rsidP="0017E8F2">
      <w:pPr>
        <w:rPr>
          <w:i/>
          <w:iCs/>
        </w:rPr>
      </w:pPr>
      <w:r w:rsidRPr="00DD1824">
        <w:rPr>
          <w:i/>
          <w:iCs/>
        </w:rPr>
        <w:t>Outline the specific objectives of the supplier diversity policy. This could include</w:t>
      </w:r>
      <w:r w:rsidR="0A3BF218" w:rsidRPr="00DD1824">
        <w:rPr>
          <w:i/>
          <w:iCs/>
        </w:rPr>
        <w:t>:</w:t>
      </w:r>
      <w:r w:rsidRPr="00DD1824">
        <w:rPr>
          <w:i/>
          <w:iCs/>
        </w:rPr>
        <w:t xml:space="preserve"> </w:t>
      </w:r>
    </w:p>
    <w:p w14:paraId="182042B9" w14:textId="1E8219D8" w:rsidR="0010300E" w:rsidRDefault="268796E3" w:rsidP="00DD1824">
      <w:pPr>
        <w:pStyle w:val="ListParagraph"/>
        <w:numPr>
          <w:ilvl w:val="0"/>
          <w:numId w:val="5"/>
        </w:numPr>
        <w:rPr>
          <w:i/>
          <w:iCs/>
        </w:rPr>
      </w:pPr>
      <w:r w:rsidRPr="0017E8F2">
        <w:rPr>
          <w:i/>
          <w:iCs/>
        </w:rPr>
        <w:t>I</w:t>
      </w:r>
      <w:r w:rsidR="0010300E" w:rsidRPr="00DD1824">
        <w:rPr>
          <w:i/>
          <w:iCs/>
        </w:rPr>
        <w:t>ncreasing the participation of diverse suppliers</w:t>
      </w:r>
    </w:p>
    <w:p w14:paraId="2A27F935" w14:textId="52914502" w:rsidR="0010300E" w:rsidRDefault="43977832" w:rsidP="00DD1824">
      <w:pPr>
        <w:pStyle w:val="ListParagraph"/>
        <w:numPr>
          <w:ilvl w:val="0"/>
          <w:numId w:val="5"/>
        </w:numPr>
        <w:rPr>
          <w:i/>
          <w:iCs/>
        </w:rPr>
      </w:pPr>
      <w:r w:rsidRPr="0017E8F2">
        <w:rPr>
          <w:i/>
          <w:iCs/>
        </w:rPr>
        <w:t>P</w:t>
      </w:r>
      <w:r w:rsidR="0010300E" w:rsidRPr="00DD1824">
        <w:rPr>
          <w:i/>
          <w:iCs/>
        </w:rPr>
        <w:t>romoting economic development in underrepresented communities</w:t>
      </w:r>
    </w:p>
    <w:p w14:paraId="4CB6C069" w14:textId="7287AA7B" w:rsidR="0010300E" w:rsidRDefault="76A685F1" w:rsidP="00DD1824">
      <w:pPr>
        <w:pStyle w:val="ListParagraph"/>
        <w:numPr>
          <w:ilvl w:val="0"/>
          <w:numId w:val="5"/>
        </w:numPr>
        <w:rPr>
          <w:i/>
          <w:iCs/>
        </w:rPr>
      </w:pPr>
      <w:r w:rsidRPr="0017E8F2">
        <w:rPr>
          <w:i/>
          <w:iCs/>
        </w:rPr>
        <w:t>F</w:t>
      </w:r>
      <w:r w:rsidR="0010300E" w:rsidRPr="00DD1824">
        <w:rPr>
          <w:i/>
          <w:iCs/>
        </w:rPr>
        <w:t>ostering innovation through diverse perspectives.</w:t>
      </w:r>
    </w:p>
    <w:p w14:paraId="1A006592" w14:textId="59A41E61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>4. Definitions</w:t>
      </w:r>
    </w:p>
    <w:p w14:paraId="60468E7C" w14:textId="5ADDEA6F" w:rsidR="0010300E" w:rsidRDefault="0010300E" w:rsidP="0017E8F2">
      <w:pPr>
        <w:rPr>
          <w:i/>
          <w:iCs/>
        </w:rPr>
      </w:pPr>
      <w:r w:rsidRPr="00DD1824">
        <w:rPr>
          <w:i/>
          <w:iCs/>
        </w:rPr>
        <w:t>Define key terms related to supplier diversity, such as</w:t>
      </w:r>
      <w:r w:rsidR="74ECDF72" w:rsidRPr="00DD1824">
        <w:rPr>
          <w:i/>
          <w:iCs/>
        </w:rPr>
        <w:t>:</w:t>
      </w:r>
      <w:r w:rsidRPr="00DD1824">
        <w:rPr>
          <w:i/>
          <w:iCs/>
        </w:rPr>
        <w:t xml:space="preserve"> </w:t>
      </w:r>
    </w:p>
    <w:p w14:paraId="08C39756" w14:textId="082E4615" w:rsidR="0010300E" w:rsidRDefault="32D137F3" w:rsidP="00DD1824">
      <w:pPr>
        <w:pStyle w:val="ListParagraph"/>
        <w:numPr>
          <w:ilvl w:val="0"/>
          <w:numId w:val="4"/>
        </w:numPr>
        <w:rPr>
          <w:i/>
          <w:iCs/>
        </w:rPr>
      </w:pPr>
      <w:r w:rsidRPr="0017E8F2">
        <w:rPr>
          <w:i/>
          <w:iCs/>
        </w:rPr>
        <w:t>D</w:t>
      </w:r>
      <w:r w:rsidR="0010300E" w:rsidRPr="00DD1824">
        <w:rPr>
          <w:i/>
          <w:iCs/>
        </w:rPr>
        <w:t>iverse suppliers</w:t>
      </w:r>
    </w:p>
    <w:p w14:paraId="2E557F0A" w14:textId="1D0B25F4" w:rsidR="0010300E" w:rsidRDefault="6AB622F2" w:rsidP="00DD1824">
      <w:pPr>
        <w:pStyle w:val="ListParagraph"/>
        <w:numPr>
          <w:ilvl w:val="0"/>
          <w:numId w:val="4"/>
        </w:numPr>
        <w:rPr>
          <w:i/>
          <w:iCs/>
        </w:rPr>
      </w:pPr>
      <w:r w:rsidRPr="0017E8F2">
        <w:rPr>
          <w:i/>
          <w:iCs/>
        </w:rPr>
        <w:t>U</w:t>
      </w:r>
      <w:r w:rsidR="0010300E" w:rsidRPr="00DD1824">
        <w:rPr>
          <w:i/>
          <w:iCs/>
        </w:rPr>
        <w:t>nderrepresented groups</w:t>
      </w:r>
    </w:p>
    <w:p w14:paraId="1C455B52" w14:textId="70E63D22" w:rsidR="0010300E" w:rsidRDefault="5EA5B471" w:rsidP="00DD1824">
      <w:pPr>
        <w:pStyle w:val="ListParagraph"/>
        <w:numPr>
          <w:ilvl w:val="0"/>
          <w:numId w:val="4"/>
        </w:numPr>
        <w:rPr>
          <w:i/>
          <w:iCs/>
        </w:rPr>
      </w:pPr>
      <w:r w:rsidRPr="0017E8F2">
        <w:rPr>
          <w:i/>
          <w:iCs/>
        </w:rPr>
        <w:t>A</w:t>
      </w:r>
      <w:r w:rsidR="0010300E" w:rsidRPr="00DD1824">
        <w:rPr>
          <w:i/>
          <w:iCs/>
        </w:rPr>
        <w:t>ny specific criteria relevant to your company's context.</w:t>
      </w:r>
    </w:p>
    <w:p w14:paraId="2BCD24FE" w14:textId="4BC44227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>5. Scope</w:t>
      </w:r>
    </w:p>
    <w:p w14:paraId="28AC88D2" w14:textId="432AB54C" w:rsidR="0010300E" w:rsidRDefault="1ED60C05" w:rsidP="0017E8F2">
      <w:pPr>
        <w:rPr>
          <w:i/>
          <w:iCs/>
        </w:rPr>
      </w:pPr>
      <w:r w:rsidRPr="0017E8F2">
        <w:rPr>
          <w:i/>
          <w:iCs/>
        </w:rPr>
        <w:t>Specify the scope of the policy</w:t>
      </w:r>
      <w:r w:rsidR="6C07FC13" w:rsidRPr="0017E8F2">
        <w:rPr>
          <w:i/>
          <w:iCs/>
        </w:rPr>
        <w:t>, explaining:</w:t>
      </w:r>
    </w:p>
    <w:p w14:paraId="41B5D5A3" w14:textId="0D397701" w:rsidR="6C07FC13" w:rsidRDefault="6C07FC13" w:rsidP="00DD1824">
      <w:pPr>
        <w:pStyle w:val="ListParagraph"/>
        <w:numPr>
          <w:ilvl w:val="0"/>
          <w:numId w:val="1"/>
        </w:numPr>
        <w:rPr>
          <w:i/>
          <w:iCs/>
        </w:rPr>
      </w:pPr>
      <w:r w:rsidRPr="0017E8F2">
        <w:rPr>
          <w:i/>
          <w:iCs/>
        </w:rPr>
        <w:t>W</w:t>
      </w:r>
      <w:r w:rsidR="1ED60C05" w:rsidRPr="0017E8F2">
        <w:rPr>
          <w:i/>
          <w:iCs/>
        </w:rPr>
        <w:t>hich areas of the business it covers</w:t>
      </w:r>
    </w:p>
    <w:p w14:paraId="31C07288" w14:textId="5F5D42B2" w:rsidR="0AF989CB" w:rsidRPr="00DD1824" w:rsidRDefault="0AF989CB" w:rsidP="00DD1824">
      <w:pPr>
        <w:pStyle w:val="ListParagraph"/>
        <w:numPr>
          <w:ilvl w:val="0"/>
          <w:numId w:val="1"/>
        </w:numPr>
        <w:rPr>
          <w:i/>
          <w:iCs/>
        </w:rPr>
      </w:pPr>
      <w:r w:rsidRPr="0017E8F2">
        <w:rPr>
          <w:i/>
          <w:iCs/>
        </w:rPr>
        <w:t>W</w:t>
      </w:r>
      <w:r w:rsidR="1ED60C05" w:rsidRPr="0017E8F2">
        <w:rPr>
          <w:i/>
          <w:iCs/>
        </w:rPr>
        <w:t xml:space="preserve">hich procurement activities it includes. </w:t>
      </w:r>
    </w:p>
    <w:p w14:paraId="3D61E22F" w14:textId="5CEC5EE3" w:rsidR="0010300E" w:rsidRPr="00394672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6. Leadership </w:t>
      </w:r>
      <w:r w:rsidR="43A57D14" w:rsidRPr="0017E8F2">
        <w:rPr>
          <w:b/>
          <w:bCs/>
        </w:rPr>
        <w:t>c</w:t>
      </w:r>
      <w:r w:rsidRPr="0017E8F2">
        <w:rPr>
          <w:b/>
          <w:bCs/>
        </w:rPr>
        <w:t>ommitment</w:t>
      </w:r>
    </w:p>
    <w:p w14:paraId="6F2EFBEA" w14:textId="0887DC17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Emphasi</w:t>
      </w:r>
      <w:r w:rsidR="10D80FA8" w:rsidRPr="00DD1824">
        <w:rPr>
          <w:i/>
          <w:iCs/>
        </w:rPr>
        <w:t>s</w:t>
      </w:r>
      <w:r w:rsidRPr="00DD1824">
        <w:rPr>
          <w:i/>
          <w:iCs/>
        </w:rPr>
        <w:t xml:space="preserve">e leadership's commitment to supplier diversity, </w:t>
      </w:r>
      <w:r w:rsidR="4F345D52" w:rsidRPr="00DD1824">
        <w:rPr>
          <w:i/>
          <w:iCs/>
        </w:rPr>
        <w:t>and</w:t>
      </w:r>
      <w:r w:rsidRPr="00DD1824">
        <w:rPr>
          <w:i/>
          <w:iCs/>
        </w:rPr>
        <w:t xml:space="preserve"> the active role </w:t>
      </w:r>
      <w:r w:rsidR="07FBBAC0" w:rsidRPr="00DD1824">
        <w:rPr>
          <w:i/>
          <w:iCs/>
        </w:rPr>
        <w:t xml:space="preserve">that </w:t>
      </w:r>
      <w:r w:rsidRPr="00DD1824">
        <w:rPr>
          <w:i/>
          <w:iCs/>
        </w:rPr>
        <w:t>executives and senior management will play in driving and supporting these initiatives.</w:t>
      </w:r>
    </w:p>
    <w:p w14:paraId="78832DD9" w14:textId="5F131354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>7. Compliance</w:t>
      </w:r>
    </w:p>
    <w:p w14:paraId="5B82E91F" w14:textId="77777777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Highlight the company's commitment to complying with all relevant laws and regulations related to supplier diversity.</w:t>
      </w:r>
    </w:p>
    <w:p w14:paraId="48363DE0" w14:textId="246313ED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8. Procurement </w:t>
      </w:r>
      <w:r w:rsidR="6DB31523" w:rsidRPr="0017E8F2">
        <w:rPr>
          <w:b/>
          <w:bCs/>
        </w:rPr>
        <w:t>p</w:t>
      </w:r>
      <w:r w:rsidRPr="0017E8F2">
        <w:rPr>
          <w:b/>
          <w:bCs/>
        </w:rPr>
        <w:t>rocesses</w:t>
      </w:r>
    </w:p>
    <w:p w14:paraId="63F09EA1" w14:textId="77777777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lastRenderedPageBreak/>
        <w:t>Detail how supplier diversity will be integrated into the company's procurement processes, including sourcing, evaluation, and selection of suppliers.</w:t>
      </w:r>
    </w:p>
    <w:p w14:paraId="210261AE" w14:textId="0CC643D9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9. Supplier </w:t>
      </w:r>
      <w:r w:rsidR="11A416B3" w:rsidRPr="0017E8F2">
        <w:rPr>
          <w:b/>
          <w:bCs/>
        </w:rPr>
        <w:t>o</w:t>
      </w:r>
      <w:r w:rsidRPr="0017E8F2">
        <w:rPr>
          <w:b/>
          <w:bCs/>
        </w:rPr>
        <w:t>utreach</w:t>
      </w:r>
    </w:p>
    <w:p w14:paraId="3F42F682" w14:textId="0F5FB8D1" w:rsidR="0010300E" w:rsidRDefault="0010300E" w:rsidP="0017E8F2">
      <w:pPr>
        <w:rPr>
          <w:i/>
          <w:iCs/>
        </w:rPr>
      </w:pPr>
      <w:r w:rsidRPr="00DD1824">
        <w:rPr>
          <w:i/>
          <w:iCs/>
        </w:rPr>
        <w:t>Describe strategies for identifying, engaging, and developing relationships with diverse suppliers. This may involve</w:t>
      </w:r>
      <w:r w:rsidR="3CCD63CF" w:rsidRPr="00DD1824">
        <w:rPr>
          <w:i/>
          <w:iCs/>
        </w:rPr>
        <w:t>:</w:t>
      </w:r>
      <w:r w:rsidRPr="00DD1824">
        <w:rPr>
          <w:i/>
          <w:iCs/>
        </w:rPr>
        <w:t xml:space="preserve"> </w:t>
      </w:r>
    </w:p>
    <w:p w14:paraId="319E6153" w14:textId="2D258738" w:rsidR="0010300E" w:rsidRDefault="2D07EEED" w:rsidP="00DD1824">
      <w:pPr>
        <w:pStyle w:val="ListParagraph"/>
        <w:numPr>
          <w:ilvl w:val="0"/>
          <w:numId w:val="3"/>
        </w:numPr>
        <w:rPr>
          <w:i/>
          <w:iCs/>
        </w:rPr>
      </w:pPr>
      <w:r w:rsidRPr="0017E8F2">
        <w:rPr>
          <w:i/>
          <w:iCs/>
        </w:rPr>
        <w:t>O</w:t>
      </w:r>
      <w:r w:rsidR="0010300E" w:rsidRPr="00DD1824">
        <w:rPr>
          <w:i/>
          <w:iCs/>
        </w:rPr>
        <w:t>utreach programs</w:t>
      </w:r>
    </w:p>
    <w:p w14:paraId="7E58224A" w14:textId="745BB8B5" w:rsidR="0010300E" w:rsidRDefault="50744EA9" w:rsidP="00DD1824">
      <w:pPr>
        <w:pStyle w:val="ListParagraph"/>
        <w:numPr>
          <w:ilvl w:val="0"/>
          <w:numId w:val="3"/>
        </w:numPr>
        <w:rPr>
          <w:i/>
          <w:iCs/>
        </w:rPr>
      </w:pPr>
      <w:r w:rsidRPr="0017E8F2">
        <w:rPr>
          <w:i/>
          <w:iCs/>
        </w:rPr>
        <w:t>N</w:t>
      </w:r>
      <w:r w:rsidR="0010300E" w:rsidRPr="00DD1824">
        <w:rPr>
          <w:i/>
          <w:iCs/>
        </w:rPr>
        <w:t>etworking events</w:t>
      </w:r>
    </w:p>
    <w:p w14:paraId="736A05DB" w14:textId="29ED6B53" w:rsidR="0010300E" w:rsidRDefault="476B67E4" w:rsidP="00DD1824">
      <w:pPr>
        <w:pStyle w:val="ListParagraph"/>
        <w:numPr>
          <w:ilvl w:val="0"/>
          <w:numId w:val="3"/>
        </w:numPr>
        <w:rPr>
          <w:i/>
          <w:iCs/>
        </w:rPr>
      </w:pPr>
      <w:r w:rsidRPr="0017E8F2">
        <w:rPr>
          <w:i/>
          <w:iCs/>
        </w:rPr>
        <w:t>P</w:t>
      </w:r>
      <w:r w:rsidR="0010300E" w:rsidRPr="00DD1824">
        <w:rPr>
          <w:i/>
          <w:iCs/>
        </w:rPr>
        <w:t>artnerships with diversity organi</w:t>
      </w:r>
      <w:r w:rsidR="1C1FD668" w:rsidRPr="00DD1824">
        <w:rPr>
          <w:i/>
          <w:iCs/>
        </w:rPr>
        <w:t>s</w:t>
      </w:r>
      <w:r w:rsidR="0010300E" w:rsidRPr="00DD1824">
        <w:rPr>
          <w:i/>
          <w:iCs/>
        </w:rPr>
        <w:t>ations.</w:t>
      </w:r>
    </w:p>
    <w:p w14:paraId="456FA4DC" w14:textId="3767C615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>10. Measurement and</w:t>
      </w:r>
      <w:r w:rsidR="235B683E" w:rsidRPr="0017E8F2">
        <w:rPr>
          <w:b/>
          <w:bCs/>
        </w:rPr>
        <w:t xml:space="preserve"> </w:t>
      </w:r>
      <w:r w:rsidR="025D234C" w:rsidRPr="0017E8F2">
        <w:rPr>
          <w:b/>
          <w:bCs/>
        </w:rPr>
        <w:t>r</w:t>
      </w:r>
      <w:r w:rsidRPr="0017E8F2">
        <w:rPr>
          <w:b/>
          <w:bCs/>
        </w:rPr>
        <w:t>eporting</w:t>
      </w:r>
    </w:p>
    <w:p w14:paraId="671460F7" w14:textId="2326EB26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Establish key performance indicators (KPIs) to measure the success of the supplier diversity program. Include a commitment to regular</w:t>
      </w:r>
      <w:r w:rsidR="0EF2399A" w:rsidRPr="0017E8F2">
        <w:rPr>
          <w:i/>
          <w:iCs/>
        </w:rPr>
        <w:t>ly</w:t>
      </w:r>
      <w:r w:rsidRPr="00DD1824">
        <w:rPr>
          <w:i/>
          <w:iCs/>
        </w:rPr>
        <w:t xml:space="preserve"> report on progress to stakeholders.</w:t>
      </w:r>
    </w:p>
    <w:p w14:paraId="13D8C3CB" w14:textId="56B7C57B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11. Training and </w:t>
      </w:r>
      <w:r w:rsidR="14EA513E" w:rsidRPr="0017E8F2">
        <w:rPr>
          <w:b/>
          <w:bCs/>
        </w:rPr>
        <w:t>a</w:t>
      </w:r>
      <w:r w:rsidRPr="0017E8F2">
        <w:rPr>
          <w:b/>
          <w:bCs/>
        </w:rPr>
        <w:t>wareness</w:t>
      </w:r>
    </w:p>
    <w:p w14:paraId="7DDBF0F9" w14:textId="5A2D613A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 xml:space="preserve">Outline plans for training employees involved in the procurement process to ensure </w:t>
      </w:r>
      <w:r w:rsidR="6E0A2842" w:rsidRPr="0017E8F2">
        <w:rPr>
          <w:i/>
          <w:iCs/>
        </w:rPr>
        <w:t>that they understand</w:t>
      </w:r>
      <w:r w:rsidRPr="00DD1824">
        <w:rPr>
          <w:i/>
          <w:iCs/>
        </w:rPr>
        <w:t xml:space="preserve"> the company's commitment to supplier diversity.</w:t>
      </w:r>
    </w:p>
    <w:p w14:paraId="79B8836E" w14:textId="19F7D300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>12. Accountability</w:t>
      </w:r>
    </w:p>
    <w:p w14:paraId="36970048" w14:textId="5366742D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Define roles and responsibilities for implementing and overseeing the supplier diversity program, ensuring accountability throughout the organi</w:t>
      </w:r>
      <w:r w:rsidR="0EF6D57D" w:rsidRPr="00DD1824">
        <w:rPr>
          <w:i/>
          <w:iCs/>
        </w:rPr>
        <w:t>s</w:t>
      </w:r>
      <w:r w:rsidRPr="00DD1824">
        <w:rPr>
          <w:i/>
          <w:iCs/>
        </w:rPr>
        <w:t>ation.</w:t>
      </w:r>
    </w:p>
    <w:p w14:paraId="59F2A498" w14:textId="055B892A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 xml:space="preserve">13. Continuous </w:t>
      </w:r>
      <w:r w:rsidR="104F0A1E" w:rsidRPr="0017E8F2">
        <w:rPr>
          <w:b/>
          <w:bCs/>
        </w:rPr>
        <w:t>i</w:t>
      </w:r>
      <w:r w:rsidRPr="0017E8F2">
        <w:rPr>
          <w:b/>
          <w:bCs/>
        </w:rPr>
        <w:t>mprovement</w:t>
      </w:r>
    </w:p>
    <w:p w14:paraId="4CA13E46" w14:textId="77777777" w:rsidR="0010300E" w:rsidRPr="00DD1824" w:rsidRDefault="0010300E" w:rsidP="0017E8F2">
      <w:pPr>
        <w:rPr>
          <w:i/>
          <w:iCs/>
        </w:rPr>
      </w:pPr>
      <w:r w:rsidRPr="00DD1824">
        <w:rPr>
          <w:i/>
          <w:iCs/>
        </w:rPr>
        <w:t>Highlight the company's commitment to regularly review and update the supplier diversity policy, ensuring it remains aligned with business goals and industry best practices.</w:t>
      </w:r>
    </w:p>
    <w:p w14:paraId="60DEE236" w14:textId="23A9C589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>14. Communication</w:t>
      </w:r>
    </w:p>
    <w:p w14:paraId="7A926EB1" w14:textId="1B9A78FE" w:rsidR="0010300E" w:rsidRDefault="0010300E" w:rsidP="0017E8F2">
      <w:pPr>
        <w:rPr>
          <w:i/>
          <w:iCs/>
        </w:rPr>
      </w:pPr>
      <w:r w:rsidRPr="00DD1824">
        <w:rPr>
          <w:i/>
          <w:iCs/>
        </w:rPr>
        <w:t>Detail how the company will communicate its supplier diversity commitment internally and externally, including to</w:t>
      </w:r>
      <w:r w:rsidR="7A9242BB" w:rsidRPr="00DD1824">
        <w:rPr>
          <w:i/>
          <w:iCs/>
        </w:rPr>
        <w:t>:</w:t>
      </w:r>
      <w:r w:rsidRPr="00DD1824">
        <w:rPr>
          <w:i/>
          <w:iCs/>
        </w:rPr>
        <w:t xml:space="preserve"> </w:t>
      </w:r>
    </w:p>
    <w:p w14:paraId="65B906F5" w14:textId="430BD1DD" w:rsidR="0010300E" w:rsidRDefault="3F232AF6" w:rsidP="0017E8F2">
      <w:pPr>
        <w:pStyle w:val="ListParagraph"/>
        <w:numPr>
          <w:ilvl w:val="0"/>
          <w:numId w:val="2"/>
        </w:numPr>
        <w:rPr>
          <w:i/>
          <w:iCs/>
        </w:rPr>
      </w:pPr>
      <w:r w:rsidRPr="00DD1824">
        <w:rPr>
          <w:i/>
          <w:iCs/>
        </w:rPr>
        <w:t>S</w:t>
      </w:r>
      <w:r w:rsidR="0010300E" w:rsidRPr="00DD1824">
        <w:rPr>
          <w:i/>
          <w:iCs/>
        </w:rPr>
        <w:t>uppliers</w:t>
      </w:r>
    </w:p>
    <w:p w14:paraId="630B9015" w14:textId="1C847324" w:rsidR="0010300E" w:rsidRDefault="34A803F8" w:rsidP="00DD1824">
      <w:pPr>
        <w:pStyle w:val="ListParagraph"/>
        <w:numPr>
          <w:ilvl w:val="0"/>
          <w:numId w:val="2"/>
        </w:numPr>
        <w:rPr>
          <w:i/>
          <w:iCs/>
        </w:rPr>
      </w:pPr>
      <w:r w:rsidRPr="00DD1824">
        <w:rPr>
          <w:i/>
          <w:iCs/>
        </w:rPr>
        <w:t>E</w:t>
      </w:r>
      <w:r w:rsidR="0010300E" w:rsidRPr="00DD1824">
        <w:rPr>
          <w:i/>
          <w:iCs/>
        </w:rPr>
        <w:t>mployees</w:t>
      </w:r>
      <w:r w:rsidR="5EAEA9FB" w:rsidRPr="00DD1824">
        <w:rPr>
          <w:i/>
          <w:iCs/>
        </w:rPr>
        <w:t xml:space="preserve"> </w:t>
      </w:r>
    </w:p>
    <w:p w14:paraId="7CCEAD8C" w14:textId="1CA27FCF" w:rsidR="0010300E" w:rsidRDefault="1F9BCC18" w:rsidP="00DD1824">
      <w:pPr>
        <w:pStyle w:val="ListParagraph"/>
        <w:numPr>
          <w:ilvl w:val="0"/>
          <w:numId w:val="2"/>
        </w:numPr>
        <w:rPr>
          <w:i/>
          <w:iCs/>
        </w:rPr>
      </w:pPr>
      <w:r w:rsidRPr="0017E8F2">
        <w:rPr>
          <w:i/>
          <w:iCs/>
        </w:rPr>
        <w:t>C</w:t>
      </w:r>
      <w:r w:rsidR="0010300E" w:rsidRPr="00DD1824">
        <w:rPr>
          <w:i/>
          <w:iCs/>
        </w:rPr>
        <w:t>ustomers</w:t>
      </w:r>
    </w:p>
    <w:p w14:paraId="61992933" w14:textId="2DBC75FC" w:rsidR="0010300E" w:rsidRDefault="03D33623" w:rsidP="00DD1824">
      <w:pPr>
        <w:pStyle w:val="ListParagraph"/>
        <w:numPr>
          <w:ilvl w:val="0"/>
          <w:numId w:val="2"/>
        </w:numPr>
        <w:rPr>
          <w:i/>
          <w:iCs/>
        </w:rPr>
      </w:pPr>
      <w:r w:rsidRPr="00DD1824">
        <w:rPr>
          <w:i/>
          <w:iCs/>
        </w:rPr>
        <w:t>O</w:t>
      </w:r>
      <w:r w:rsidR="0010300E" w:rsidRPr="00DD1824">
        <w:rPr>
          <w:i/>
          <w:iCs/>
        </w:rPr>
        <w:t>ther stakeholders.</w:t>
      </w:r>
    </w:p>
    <w:p w14:paraId="4BCE85D5" w14:textId="320708CF" w:rsidR="0010300E" w:rsidRPr="00BE0645" w:rsidRDefault="0010300E" w:rsidP="0010300E">
      <w:pPr>
        <w:rPr>
          <w:b/>
          <w:bCs/>
        </w:rPr>
      </w:pPr>
      <w:r w:rsidRPr="0017E8F2">
        <w:rPr>
          <w:b/>
          <w:bCs/>
        </w:rPr>
        <w:t>15. Conclusion</w:t>
      </w:r>
    </w:p>
    <w:p w14:paraId="73497D8A" w14:textId="54E25199" w:rsidR="0010300E" w:rsidRDefault="5044FC38" w:rsidP="0010300E">
      <w:r w:rsidRPr="00DD1824">
        <w:rPr>
          <w:i/>
          <w:iCs/>
        </w:rPr>
        <w:t xml:space="preserve">Reiterate </w:t>
      </w:r>
      <w:r w:rsidR="0010300E" w:rsidRPr="00DD1824">
        <w:rPr>
          <w:i/>
          <w:iCs/>
        </w:rPr>
        <w:t>the company's dedication to fostering supplier diversity as an integral part of its business strategy.</w:t>
      </w:r>
    </w:p>
    <w:sectPr w:rsidR="0010300E" w:rsidSect="007D35EC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2D58" w14:textId="77777777" w:rsidR="007D35EC" w:rsidRDefault="007D35EC">
      <w:pPr>
        <w:spacing w:after="0" w:line="240" w:lineRule="auto"/>
      </w:pPr>
      <w:r>
        <w:separator/>
      </w:r>
    </w:p>
  </w:endnote>
  <w:endnote w:type="continuationSeparator" w:id="0">
    <w:p w14:paraId="4100D880" w14:textId="77777777" w:rsidR="007D35EC" w:rsidRDefault="007D35EC">
      <w:pPr>
        <w:spacing w:after="0" w:line="240" w:lineRule="auto"/>
      </w:pPr>
      <w:r>
        <w:continuationSeparator/>
      </w:r>
    </w:p>
  </w:endnote>
  <w:endnote w:type="continuationNotice" w:id="1">
    <w:p w14:paraId="09F1458E" w14:textId="77777777" w:rsidR="007D35EC" w:rsidRDefault="007D3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577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082FA" w14:textId="77777777" w:rsidR="0010300E" w:rsidRDefault="00103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D8F9B" w14:textId="77777777" w:rsidR="0010300E" w:rsidRDefault="0010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D767" w14:textId="77777777" w:rsidR="007D35EC" w:rsidRDefault="007D35EC">
      <w:pPr>
        <w:spacing w:after="0" w:line="240" w:lineRule="auto"/>
      </w:pPr>
      <w:r>
        <w:separator/>
      </w:r>
    </w:p>
  </w:footnote>
  <w:footnote w:type="continuationSeparator" w:id="0">
    <w:p w14:paraId="744BB2A0" w14:textId="77777777" w:rsidR="007D35EC" w:rsidRDefault="007D35EC">
      <w:pPr>
        <w:spacing w:after="0" w:line="240" w:lineRule="auto"/>
      </w:pPr>
      <w:r>
        <w:continuationSeparator/>
      </w:r>
    </w:p>
  </w:footnote>
  <w:footnote w:type="continuationNotice" w:id="1">
    <w:p w14:paraId="73B9850E" w14:textId="77777777" w:rsidR="007D35EC" w:rsidRDefault="007D35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D153" w14:textId="5E0272E8" w:rsidR="00027036" w:rsidRDefault="00027036" w:rsidP="00027036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73403" wp14:editId="60D8BC27">
          <wp:simplePos x="0" y="0"/>
          <wp:positionH relativeFrom="column">
            <wp:posOffset>4902835</wp:posOffset>
          </wp:positionH>
          <wp:positionV relativeFrom="paragraph">
            <wp:posOffset>112286</wp:posOffset>
          </wp:positionV>
          <wp:extent cx="1593591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597809382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591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02340E9" w14:textId="5358A99C" w:rsidR="00027036" w:rsidRDefault="00027036" w:rsidP="00027036">
    <w:pPr>
      <w:jc w:val="center"/>
      <w:rPr>
        <w:b/>
        <w:bCs/>
        <w:sz w:val="24"/>
        <w:szCs w:val="24"/>
      </w:rPr>
    </w:pPr>
  </w:p>
  <w:p w14:paraId="2377E7D9" w14:textId="77777777" w:rsidR="00027036" w:rsidRDefault="00027036" w:rsidP="00027036">
    <w:pPr>
      <w:jc w:val="center"/>
      <w:rPr>
        <w:b/>
        <w:bCs/>
        <w:sz w:val="24"/>
        <w:szCs w:val="24"/>
      </w:rPr>
    </w:pPr>
  </w:p>
  <w:p w14:paraId="28DE2008" w14:textId="357B80A1" w:rsidR="00027036" w:rsidRDefault="00027036" w:rsidP="00027036">
    <w:pPr>
      <w:pStyle w:val="Header"/>
      <w:ind w:left="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4A3D" w14:textId="539AA73D" w:rsidR="00027036" w:rsidRDefault="00027036" w:rsidP="00027036">
    <w:pPr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A0F32C" wp14:editId="440EC013">
          <wp:simplePos x="0" y="0"/>
          <wp:positionH relativeFrom="column">
            <wp:posOffset>4894580</wp:posOffset>
          </wp:positionH>
          <wp:positionV relativeFrom="paragraph">
            <wp:posOffset>138211</wp:posOffset>
          </wp:positionV>
          <wp:extent cx="1593591" cy="821055"/>
          <wp:effectExtent l="0" t="0" r="6985" b="0"/>
          <wp:wrapTight wrapText="bothSides">
            <wp:wrapPolygon edited="0">
              <wp:start x="0" y="0"/>
              <wp:lineTo x="0" y="5513"/>
              <wp:lineTo x="258" y="9021"/>
              <wp:lineTo x="3358" y="16037"/>
              <wp:lineTo x="8006" y="20046"/>
              <wp:lineTo x="21436" y="20046"/>
              <wp:lineTo x="21436" y="0"/>
              <wp:lineTo x="0" y="0"/>
            </wp:wrapPolygon>
          </wp:wrapTight>
          <wp:docPr id="133396418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785805" name="Picture 5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2"/>
                  <a:stretch/>
                </pic:blipFill>
                <pic:spPr bwMode="auto">
                  <a:xfrm>
                    <a:off x="0" y="0"/>
                    <a:ext cx="1593591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6A15CB" w14:textId="0983F435" w:rsidR="00027036" w:rsidRDefault="00027036" w:rsidP="00027036">
    <w:pPr>
      <w:jc w:val="center"/>
      <w:rPr>
        <w:b/>
        <w:bCs/>
        <w:sz w:val="24"/>
        <w:szCs w:val="24"/>
      </w:rPr>
    </w:pPr>
  </w:p>
  <w:p w14:paraId="6057A97B" w14:textId="7CB8B626" w:rsidR="00027036" w:rsidRDefault="00027036" w:rsidP="00027036">
    <w:pPr>
      <w:jc w:val="center"/>
      <w:rPr>
        <w:b/>
        <w:bCs/>
        <w:sz w:val="24"/>
        <w:szCs w:val="24"/>
      </w:rPr>
    </w:pPr>
  </w:p>
  <w:p w14:paraId="337FCB8C" w14:textId="6F0EADCB" w:rsidR="00027036" w:rsidRPr="00394672" w:rsidRDefault="00027036" w:rsidP="00027036">
    <w:pPr>
      <w:jc w:val="center"/>
      <w:rPr>
        <w:b/>
        <w:bCs/>
        <w:sz w:val="24"/>
        <w:szCs w:val="24"/>
      </w:rPr>
    </w:pPr>
    <w:r w:rsidRPr="610C441F">
      <w:rPr>
        <w:b/>
        <w:bCs/>
        <w:sz w:val="24"/>
        <w:szCs w:val="24"/>
      </w:rPr>
      <w:t xml:space="preserve">Supplier </w:t>
    </w:r>
    <w:r>
      <w:rPr>
        <w:b/>
        <w:bCs/>
        <w:sz w:val="24"/>
        <w:szCs w:val="24"/>
      </w:rPr>
      <w:t>D</w:t>
    </w:r>
    <w:r w:rsidRPr="610C441F">
      <w:rPr>
        <w:b/>
        <w:bCs/>
        <w:sz w:val="24"/>
        <w:szCs w:val="24"/>
      </w:rPr>
      <w:t xml:space="preserve">iversity </w:t>
    </w:r>
    <w:r>
      <w:rPr>
        <w:b/>
        <w:bCs/>
        <w:sz w:val="24"/>
        <w:szCs w:val="24"/>
      </w:rPr>
      <w:t>P</w:t>
    </w:r>
    <w:r w:rsidRPr="610C441F">
      <w:rPr>
        <w:b/>
        <w:bCs/>
        <w:sz w:val="24"/>
        <w:szCs w:val="24"/>
      </w:rPr>
      <w:t>olicy | Template</w:t>
    </w:r>
  </w:p>
  <w:p w14:paraId="48B090A0" w14:textId="0C8293F7" w:rsidR="00027036" w:rsidRDefault="00027036" w:rsidP="00027036"/>
  <w:p w14:paraId="38A93101" w14:textId="3D2F2D91" w:rsidR="00027036" w:rsidRDefault="00027036" w:rsidP="00027036">
    <w:pPr>
      <w:rPr>
        <w:i/>
        <w:iCs/>
      </w:rPr>
    </w:pPr>
    <w:r>
      <w:rPr>
        <w:i/>
        <w:iCs/>
      </w:rPr>
      <w:t>T</w:t>
    </w:r>
    <w:r w:rsidRPr="0017E8F2">
      <w:rPr>
        <w:i/>
        <w:iCs/>
      </w:rPr>
      <w:t>ailor your company’s supplier diversity policy to the specific context, goals, and values of your company</w:t>
    </w:r>
    <w:r>
      <w:rPr>
        <w:i/>
        <w:iCs/>
      </w:rPr>
      <w:t xml:space="preserve"> ensuring </w:t>
    </w:r>
    <w:r w:rsidRPr="0017E8F2">
      <w:rPr>
        <w:i/>
        <w:iCs/>
      </w:rPr>
      <w:t>that you engage relevant stakeholders in the development and review process to ensure that it aligns with broader organis</w:t>
    </w:r>
    <w:r w:rsidRPr="00DD1824">
      <w:rPr>
        <w:i/>
        <w:iCs/>
      </w:rPr>
      <w:t>ational objectives.</w:t>
    </w:r>
  </w:p>
  <w:p w14:paraId="48E8210C" w14:textId="26992442" w:rsidR="00027036" w:rsidRDefault="00027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3F62"/>
    <w:multiLevelType w:val="hybridMultilevel"/>
    <w:tmpl w:val="7AD016A2"/>
    <w:lvl w:ilvl="0" w:tplc="AE069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2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6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F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8F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2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61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E9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8804"/>
    <w:multiLevelType w:val="hybridMultilevel"/>
    <w:tmpl w:val="EEE45470"/>
    <w:lvl w:ilvl="0" w:tplc="AE081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2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5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5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A3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5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2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68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31825"/>
    <w:multiLevelType w:val="hybridMultilevel"/>
    <w:tmpl w:val="00F644B0"/>
    <w:lvl w:ilvl="0" w:tplc="8732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8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EF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A1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21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E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8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81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94B"/>
    <w:multiLevelType w:val="hybridMultilevel"/>
    <w:tmpl w:val="CE1EF57C"/>
    <w:lvl w:ilvl="0" w:tplc="545E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0B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8B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8F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C7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88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A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C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CA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638"/>
    <w:multiLevelType w:val="hybridMultilevel"/>
    <w:tmpl w:val="87FAF496"/>
    <w:lvl w:ilvl="0" w:tplc="DD92C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6C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6E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A9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8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6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E4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63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6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0D8E"/>
    <w:multiLevelType w:val="hybridMultilevel"/>
    <w:tmpl w:val="955C759E"/>
    <w:lvl w:ilvl="0" w:tplc="B71A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89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23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2E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A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E2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CF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4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67151">
    <w:abstractNumId w:val="0"/>
  </w:num>
  <w:num w:numId="2" w16cid:durableId="1902016025">
    <w:abstractNumId w:val="1"/>
  </w:num>
  <w:num w:numId="3" w16cid:durableId="1350643014">
    <w:abstractNumId w:val="2"/>
  </w:num>
  <w:num w:numId="4" w16cid:durableId="203031486">
    <w:abstractNumId w:val="4"/>
  </w:num>
  <w:num w:numId="5" w16cid:durableId="335234123">
    <w:abstractNumId w:val="5"/>
  </w:num>
  <w:num w:numId="6" w16cid:durableId="145097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0E"/>
    <w:rsid w:val="00027036"/>
    <w:rsid w:val="00081F7C"/>
    <w:rsid w:val="0010300E"/>
    <w:rsid w:val="0017E8F2"/>
    <w:rsid w:val="00415A11"/>
    <w:rsid w:val="00437713"/>
    <w:rsid w:val="00547F02"/>
    <w:rsid w:val="005E6A15"/>
    <w:rsid w:val="00621CAE"/>
    <w:rsid w:val="007D35EC"/>
    <w:rsid w:val="00835D78"/>
    <w:rsid w:val="008E3770"/>
    <w:rsid w:val="009B079F"/>
    <w:rsid w:val="009C5674"/>
    <w:rsid w:val="009C6F71"/>
    <w:rsid w:val="00A3440D"/>
    <w:rsid w:val="00A359E0"/>
    <w:rsid w:val="00D76ED5"/>
    <w:rsid w:val="00DB7CCB"/>
    <w:rsid w:val="00DD1824"/>
    <w:rsid w:val="00DE413D"/>
    <w:rsid w:val="00E450A9"/>
    <w:rsid w:val="00E45AD3"/>
    <w:rsid w:val="00ED728C"/>
    <w:rsid w:val="00EF3474"/>
    <w:rsid w:val="00F44100"/>
    <w:rsid w:val="00F62A26"/>
    <w:rsid w:val="01C4674A"/>
    <w:rsid w:val="025D234C"/>
    <w:rsid w:val="02EADBD0"/>
    <w:rsid w:val="03D33623"/>
    <w:rsid w:val="0410329F"/>
    <w:rsid w:val="07FBBAC0"/>
    <w:rsid w:val="08B01A7B"/>
    <w:rsid w:val="09CE73F8"/>
    <w:rsid w:val="0A3BF218"/>
    <w:rsid w:val="0AF989CB"/>
    <w:rsid w:val="0D838B9E"/>
    <w:rsid w:val="0EF2399A"/>
    <w:rsid w:val="0EF6D57D"/>
    <w:rsid w:val="0F1F5BFF"/>
    <w:rsid w:val="0F290EF2"/>
    <w:rsid w:val="0FDD04FA"/>
    <w:rsid w:val="104F0A1E"/>
    <w:rsid w:val="10D80FA8"/>
    <w:rsid w:val="116D2E91"/>
    <w:rsid w:val="11A416B3"/>
    <w:rsid w:val="120C8EBE"/>
    <w:rsid w:val="12A7A979"/>
    <w:rsid w:val="137E48FB"/>
    <w:rsid w:val="13BF43DB"/>
    <w:rsid w:val="14EA513E"/>
    <w:rsid w:val="17520963"/>
    <w:rsid w:val="182B1590"/>
    <w:rsid w:val="190411F7"/>
    <w:rsid w:val="1ADC9005"/>
    <w:rsid w:val="1B62B652"/>
    <w:rsid w:val="1C1FD668"/>
    <w:rsid w:val="1ED60C05"/>
    <w:rsid w:val="1F9BCC18"/>
    <w:rsid w:val="235B683E"/>
    <w:rsid w:val="246F550E"/>
    <w:rsid w:val="254F0957"/>
    <w:rsid w:val="266A57CE"/>
    <w:rsid w:val="268796E3"/>
    <w:rsid w:val="2B6E848D"/>
    <w:rsid w:val="2CB53538"/>
    <w:rsid w:val="2D07EEED"/>
    <w:rsid w:val="2FE617CD"/>
    <w:rsid w:val="32D137F3"/>
    <w:rsid w:val="34A803F8"/>
    <w:rsid w:val="35FA56F8"/>
    <w:rsid w:val="36196420"/>
    <w:rsid w:val="3ACDC81B"/>
    <w:rsid w:val="3C69987C"/>
    <w:rsid w:val="3CCD63CF"/>
    <w:rsid w:val="3F232AF6"/>
    <w:rsid w:val="43977832"/>
    <w:rsid w:val="43A57D14"/>
    <w:rsid w:val="476B67E4"/>
    <w:rsid w:val="48AB3F03"/>
    <w:rsid w:val="4C87A9CC"/>
    <w:rsid w:val="4E237A2D"/>
    <w:rsid w:val="4EEDE659"/>
    <w:rsid w:val="4F345D52"/>
    <w:rsid w:val="500E0CC4"/>
    <w:rsid w:val="5044FC38"/>
    <w:rsid w:val="50744EA9"/>
    <w:rsid w:val="522141B5"/>
    <w:rsid w:val="543F520B"/>
    <w:rsid w:val="554ABE27"/>
    <w:rsid w:val="56F587A8"/>
    <w:rsid w:val="57E2230F"/>
    <w:rsid w:val="59817536"/>
    <w:rsid w:val="5AADC3AD"/>
    <w:rsid w:val="5B4F43FD"/>
    <w:rsid w:val="5C5E9823"/>
    <w:rsid w:val="5EA5B471"/>
    <w:rsid w:val="5EAEA9FB"/>
    <w:rsid w:val="60C3B7B1"/>
    <w:rsid w:val="610C441F"/>
    <w:rsid w:val="653804ED"/>
    <w:rsid w:val="672CC6A3"/>
    <w:rsid w:val="697AEEDD"/>
    <w:rsid w:val="6AB622F2"/>
    <w:rsid w:val="6B5A1A69"/>
    <w:rsid w:val="6C07FC13"/>
    <w:rsid w:val="6C310640"/>
    <w:rsid w:val="6C4D0BC9"/>
    <w:rsid w:val="6D9774A0"/>
    <w:rsid w:val="6DB31523"/>
    <w:rsid w:val="6E0A2842"/>
    <w:rsid w:val="74ECDF72"/>
    <w:rsid w:val="75456453"/>
    <w:rsid w:val="76A685F1"/>
    <w:rsid w:val="76F638C9"/>
    <w:rsid w:val="7999002D"/>
    <w:rsid w:val="7A9242BB"/>
    <w:rsid w:val="7CD0A0EF"/>
    <w:rsid w:val="7F109D0B"/>
    <w:rsid w:val="7F3F1E60"/>
    <w:rsid w:val="7F9DB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7A2E"/>
  <w15:chartTrackingRefBased/>
  <w15:docId w15:val="{FB114C60-AC0F-4BF7-A729-30A35622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0E"/>
  </w:style>
  <w:style w:type="paragraph" w:styleId="Heading1">
    <w:name w:val="heading 1"/>
    <w:basedOn w:val="Normal"/>
    <w:next w:val="Normal"/>
    <w:link w:val="Heading1Char"/>
    <w:uiPriority w:val="9"/>
    <w:qFormat/>
    <w:rsid w:val="0010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00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0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76E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6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7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35D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3D8F7C77FF248993691798F947CD2" ma:contentTypeVersion="14" ma:contentTypeDescription="Create a new document." ma:contentTypeScope="" ma:versionID="2f20db33ec2c48a8a660d9e26de2abbf">
  <xsd:schema xmlns:xsd="http://www.w3.org/2001/XMLSchema" xmlns:xs="http://www.w3.org/2001/XMLSchema" xmlns:p="http://schemas.microsoft.com/office/2006/metadata/properties" xmlns:ns2="ea4cf146-dce8-497b-9ff2-3848e5acdf58" xmlns:ns3="731453d5-b81f-46a0-9b85-25d5b924752b" targetNamespace="http://schemas.microsoft.com/office/2006/metadata/properties" ma:root="true" ma:fieldsID="05f9f2971a21646478725d4c71bc9e6d" ns2:_="" ns3:_="">
    <xsd:import namespace="ea4cf146-dce8-497b-9ff2-3848e5acdf58"/>
    <xsd:import namespace="731453d5-b81f-46a0-9b85-25d5b9247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f146-dce8-497b-9ff2-3848e5acd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03fa86-1164-4b34-ae63-7a6cacda7464}" ma:internalName="TaxCatchAll" ma:showField="CatchAllData" ma:web="ea4cf146-dce8-497b-9ff2-3848e5acd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3d5-b81f-46a0-9b85-25d5b9247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340684-9019-46e6-9de6-9cb84f91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453d5-b81f-46a0-9b85-25d5b924752b">
      <Terms xmlns="http://schemas.microsoft.com/office/infopath/2007/PartnerControls"/>
    </lcf76f155ced4ddcb4097134ff3c332f>
    <TaxCatchAll xmlns="ea4cf146-dce8-497b-9ff2-3848e5acdf58" xsi:nil="true"/>
  </documentManagement>
</p:properties>
</file>

<file path=customXml/itemProps1.xml><?xml version="1.0" encoding="utf-8"?>
<ds:datastoreItem xmlns:ds="http://schemas.openxmlformats.org/officeDocument/2006/customXml" ds:itemID="{7865DA4E-E196-4E2A-BA15-3555429FCD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386BB-E383-4CFA-B0E1-2A5A08931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cf146-dce8-497b-9ff2-3848e5acdf58"/>
    <ds:schemaRef ds:uri="731453d5-b81f-46a0-9b85-25d5b9247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E358A-6BDC-4D71-A576-22D09DD287A4}">
  <ds:schemaRefs>
    <ds:schemaRef ds:uri="http://schemas.microsoft.com/office/2006/metadata/properties"/>
    <ds:schemaRef ds:uri="http://schemas.microsoft.com/office/infopath/2007/PartnerControls"/>
    <ds:schemaRef ds:uri="731453d5-b81f-46a0-9b85-25d5b924752b"/>
    <ds:schemaRef ds:uri="ea4cf146-dce8-497b-9ff2-3848e5acd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Hoyle</dc:creator>
  <cp:keywords/>
  <dc:description/>
  <cp:lastModifiedBy>Michael Cotton</cp:lastModifiedBy>
  <cp:revision>13</cp:revision>
  <dcterms:created xsi:type="dcterms:W3CDTF">2024-03-04T01:18:00Z</dcterms:created>
  <dcterms:modified xsi:type="dcterms:W3CDTF">2024-04-30T03:10:00Z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0x010100BE13D8F7C77FF248993691798F947CD2</vt:lpwstr>
  </property>
  <property fmtid="{D5CDD505-2E9C-101B-9397-08002B2CF9AE}" pid="3" name="MediaServiceImageTags">
    <vt:lpwstr/>
  </property>
</Properties>
</file>